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1F4E79"/>
          <w:sz w:val="40"/>
          <w:szCs w:val="40"/>
        </w:rPr>
        <w:t xml:space="preserve">Family Education Fund</w:t>
      </w:r>
    </w:p>
    <w:p>
      <w:pPr>
        <w:spacing w:before="0" w:after="80"/>
        <w:jc w:val="center"/>
      </w:pPr>
      <w:r>
        <w:rPr>
          <w:rFonts w:ascii="Arial" w:cs="Arial" w:eastAsia="Arial" w:hAnsi="Arial"/>
          <w:color w:val="444444"/>
          <w:sz w:val="26"/>
          <w:szCs w:val="26"/>
        </w:rPr>
        <w:t xml:space="preserve">Grant &amp; Zero-Interest Loan Criteria</w:t>
      </w:r>
    </w:p>
    <w:p>
      <w:pPr>
        <w:spacing w:before="0" w:after="300"/>
        <w:jc w:val="center"/>
      </w:pPr>
      <w:r>
        <w:rPr>
          <w:rFonts w:ascii="Arial" w:cs="Arial" w:eastAsia="Arial" w:hAnsi="Arial"/>
          <w:i/>
          <w:iCs/>
          <w:color w:val="555555"/>
          <w:sz w:val="24"/>
          <w:szCs w:val="24"/>
        </w:rPr>
        <w:t xml:space="preserve">Bismillah ir-Rahman ir-Rahim</w:t>
      </w:r>
    </w:p>
    <w:p>
      <w:pPr>
        <w:pStyle w:val="Heading1"/>
        <w:spacing w:before="300" w:after="120"/>
      </w:pPr>
      <w:r>
        <w:t xml:space="preserve">Purpose &amp; Intent</w:t>
      </w:r>
    </w:p>
    <w:p>
      <w:pPr>
        <w:spacing w:before="60" w:after="60"/>
      </w:pPr>
      <w:r>
        <w:rPr>
          <w:rFonts w:ascii="Arial" w:cs="Arial" w:eastAsia="Arial" w:hAnsi="Arial"/>
          <w:sz w:val="22"/>
          <w:szCs w:val="22"/>
        </w:rPr>
        <w:t xml:space="preserve">This fund was established to support extended family members — on both the maternal and paternal sides of the family — in their pursuit of higher education. All eligible family members from both sides are warmly welcomed and encouraged to apply. Rooted in the spirit of Sadaqah Jariyah (continuous charity), every student supported through this fund carries forward a legacy of knowledge, growth, and barakah — benefiting not only themselves but their families and communities, InshaAllah.</w:t>
      </w:r>
    </w:p>
    <w:p>
      <w:pPr>
        <w:pStyle w:val="Heading1"/>
        <w:spacing w:before="300" w:after="120"/>
      </w:pPr>
      <w:r>
        <w:t xml:space="preserve">General Eligibility</w:t>
      </w:r>
    </w:p>
    <w:p>
      <w:pPr>
        <w:spacing w:before="60" w:after="60"/>
      </w:pPr>
      <w:r>
        <w:rPr>
          <w:rFonts w:ascii="Arial" w:cs="Arial" w:eastAsia="Arial" w:hAnsi="Arial"/>
          <w:sz w:val="22"/>
          <w:szCs w:val="22"/>
        </w:rPr>
        <w:t xml:space="preserve">To be considered for any support from the Family Education Fund, the applicant must meet all of the following baseline criteria:</w:t>
      </w:r>
    </w:p>
    <w:p>
      <w:pPr>
        <w:pStyle w:val="ListParagraph"/>
        <w:numPr>
          <w:ilvl w:val="0"/>
          <w:numId w:val="2"/>
        </w:numPr>
        <w:spacing w:before="40" w:after="40"/>
      </w:pPr>
      <w:r>
        <w:rPr>
          <w:rFonts w:ascii="Arial" w:cs="Arial" w:eastAsia="Arial" w:hAnsi="Arial"/>
          <w:b w:val="false"/>
          <w:bCs w:val="false"/>
          <w:sz w:val="22"/>
          <w:szCs w:val="22"/>
        </w:rPr>
        <w:t xml:space="preserve">Is a member of the extended family (maternal or paternal side)</w:t>
      </w:r>
    </w:p>
    <w:p>
      <w:pPr>
        <w:pStyle w:val="ListParagraph"/>
        <w:numPr>
          <w:ilvl w:val="0"/>
          <w:numId w:val="2"/>
        </w:numPr>
        <w:spacing w:before="40" w:after="40"/>
      </w:pPr>
      <w:r>
        <w:rPr>
          <w:rFonts w:ascii="Arial" w:cs="Arial" w:eastAsia="Arial" w:hAnsi="Arial"/>
          <w:b w:val="false"/>
          <w:bCs w:val="false"/>
          <w:sz w:val="22"/>
          <w:szCs w:val="22"/>
        </w:rPr>
        <w:t xml:space="preserve">Is enrolled full-time in an accredited undergraduate degree program</w:t>
      </w:r>
    </w:p>
    <w:p>
      <w:pPr>
        <w:pStyle w:val="ListParagraph"/>
        <w:numPr>
          <w:ilvl w:val="0"/>
          <w:numId w:val="2"/>
        </w:numPr>
        <w:spacing w:before="40" w:after="40"/>
      </w:pPr>
      <w:r>
        <w:rPr>
          <w:rFonts w:ascii="Arial" w:cs="Arial" w:eastAsia="Arial" w:hAnsi="Arial"/>
          <w:b w:val="false"/>
          <w:bCs w:val="false"/>
          <w:sz w:val="22"/>
          <w:szCs w:val="22"/>
        </w:rPr>
        <w:t xml:space="preserve">Is in good academic standing with no unresolved academic violations</w:t>
      </w:r>
    </w:p>
    <w:p>
      <w:pPr>
        <w:pStyle w:val="ListParagraph"/>
        <w:numPr>
          <w:ilvl w:val="0"/>
          <w:numId w:val="2"/>
        </w:numPr>
        <w:spacing w:before="40" w:after="40"/>
      </w:pPr>
      <w:r>
        <w:rPr>
          <w:rFonts w:ascii="Arial" w:cs="Arial" w:eastAsia="Arial" w:hAnsi="Arial"/>
          <w:b w:val="false"/>
          <w:bCs w:val="false"/>
          <w:sz w:val="22"/>
          <w:szCs w:val="22"/>
        </w:rPr>
        <w:t xml:space="preserve">Demonstrates financial need based on household income</w:t>
      </w:r>
    </w:p>
    <w:p>
      <w:pPr>
        <w:pStyle w:val="ListParagraph"/>
        <w:numPr>
          <w:ilvl w:val="0"/>
          <w:numId w:val="2"/>
        </w:numPr>
        <w:spacing w:before="40" w:after="40"/>
      </w:pPr>
      <w:r>
        <w:rPr>
          <w:rFonts w:ascii="Arial" w:cs="Arial" w:eastAsia="Arial" w:hAnsi="Arial"/>
          <w:b w:val="false"/>
          <w:bCs w:val="false"/>
          <w:sz w:val="22"/>
          <w:szCs w:val="22"/>
        </w:rPr>
        <w:t xml:space="preserve">Submits a completed application with supporting documentation</w:t>
      </w:r>
    </w:p>
    <w:p>
      <w:pPr>
        <w:spacing w:before="120" w:after="60"/>
      </w:pPr>
      <w:r>
        <w:rPr>
          <w:rFonts w:ascii="Arial" w:cs="Arial" w:eastAsia="Arial" w:hAnsi="Arial"/>
          <w:b/>
          <w:bCs/>
          <w:sz w:val="22"/>
          <w:szCs w:val="22"/>
        </w:rPr>
        <w:t xml:space="preserve">Note on Institutions: </w:t>
      </w:r>
      <w:r>
        <w:rPr>
          <w:rFonts w:ascii="Arial" w:cs="Arial" w:eastAsia="Arial" w:hAnsi="Arial"/>
          <w:sz w:val="22"/>
          <w:szCs w:val="22"/>
        </w:rPr>
        <w:t xml:space="preserve">This fund is open to students enrolled at accredited institutions both within the United States and internationally. International institutions must be officially recognized and accredited by the relevant educational authority in their country.</w:t>
      </w:r>
    </w:p>
    <w:p>
      <w:pPr>
        <w:pStyle w:val="Heading1"/>
        <w:spacing w:before="300" w:after="60"/>
      </w:pPr>
      <w:r>
        <w:t xml:space="preserve">Grant Criteria</w:t>
      </w:r>
    </w:p>
    <w:p>
      <w:pPr>
        <w:spacing w:before="60" w:after="60"/>
      </w:pPr>
      <w:r>
        <w:rPr>
          <w:rFonts w:ascii="Arial" w:cs="Arial" w:eastAsia="Arial" w:hAnsi="Arial"/>
          <w:b/>
          <w:bCs/>
          <w:i/>
          <w:iCs/>
          <w:sz w:val="22"/>
          <w:szCs w:val="22"/>
        </w:rPr>
        <w:t xml:space="preserve">No Repayment Required</w:t>
      </w:r>
    </w:p>
    <w:p>
      <w:pPr>
        <w:spacing w:before="60" w:after="60"/>
      </w:pPr>
      <w:r>
        <w:rPr>
          <w:rFonts w:ascii="Arial" w:cs="Arial" w:eastAsia="Arial" w:hAnsi="Arial"/>
          <w:sz w:val="22"/>
          <w:szCs w:val="22"/>
        </w:rPr>
        <w:t xml:space="preserve">A grant is a gift — it does not need to be repaid. It is awarded to students who demonstrate both academic excellence and financial need. Grants are one-time awards.</w:t>
      </w:r>
    </w:p>
    <w:p>
      <w:pPr>
        <w:pStyle w:val="Heading2"/>
        <w:spacing w:before="200" w:after="80"/>
      </w:pPr>
      <w:r>
        <w:t xml:space="preserve">To qualify for a Grant, the applicant must:</w:t>
      </w:r>
    </w:p>
    <w:p>
      <w:pPr>
        <w:pStyle w:val="ListParagraph"/>
        <w:numPr>
          <w:ilvl w:val="0"/>
          <w:numId w:val="2"/>
        </w:numPr>
        <w:spacing w:before="40" w:after="40"/>
      </w:pPr>
      <w:r>
        <w:rPr>
          <w:rFonts w:ascii="Arial" w:cs="Arial" w:eastAsia="Arial" w:hAnsi="Arial"/>
          <w:b w:val="false"/>
          <w:bCs w:val="false"/>
          <w:sz w:val="22"/>
          <w:szCs w:val="22"/>
        </w:rPr>
        <w:t xml:space="preserve">Maintain a GPA of 3.0 or higher (Good Standing or above)</w:t>
      </w:r>
    </w:p>
    <w:p>
      <w:pPr>
        <w:pStyle w:val="ListParagraph"/>
        <w:numPr>
          <w:ilvl w:val="0"/>
          <w:numId w:val="2"/>
        </w:numPr>
        <w:spacing w:before="40" w:after="40"/>
      </w:pPr>
      <w:r>
        <w:rPr>
          <w:rFonts w:ascii="Arial" w:cs="Arial" w:eastAsia="Arial" w:hAnsi="Arial"/>
          <w:b w:val="false"/>
          <w:bCs w:val="false"/>
          <w:sz w:val="22"/>
          <w:szCs w:val="22"/>
        </w:rPr>
        <w:t xml:space="preserve">Be enrolled full-time in an undergraduate program at an accredited institution (domestic or international)</w:t>
      </w:r>
    </w:p>
    <w:p>
      <w:pPr>
        <w:pStyle w:val="ListParagraph"/>
        <w:numPr>
          <w:ilvl w:val="0"/>
          <w:numId w:val="2"/>
        </w:numPr>
        <w:spacing w:before="40" w:after="40"/>
      </w:pPr>
      <w:r>
        <w:rPr>
          <w:rFonts w:ascii="Arial" w:cs="Arial" w:eastAsia="Arial" w:hAnsi="Arial"/>
          <w:b w:val="false"/>
          <w:bCs w:val="false"/>
          <w:sz w:val="22"/>
          <w:szCs w:val="22"/>
        </w:rPr>
        <w:t xml:space="preserve">Demonstrate financial need based on household income</w:t>
      </w:r>
    </w:p>
    <w:p>
      <w:pPr>
        <w:pStyle w:val="ListParagraph"/>
        <w:numPr>
          <w:ilvl w:val="0"/>
          <w:numId w:val="2"/>
        </w:numPr>
        <w:spacing w:before="40" w:after="40"/>
      </w:pPr>
      <w:r>
        <w:rPr>
          <w:rFonts w:ascii="Arial" w:cs="Arial" w:eastAsia="Arial" w:hAnsi="Arial"/>
          <w:b w:val="false"/>
          <w:bCs w:val="false"/>
          <w:sz w:val="22"/>
          <w:szCs w:val="22"/>
        </w:rPr>
        <w:t xml:space="preserve">Show satisfactory academic progress each semester</w:t>
      </w:r>
    </w:p>
    <w:p>
      <w:pPr>
        <w:pStyle w:val="ListParagraph"/>
        <w:numPr>
          <w:ilvl w:val="0"/>
          <w:numId w:val="2"/>
        </w:numPr>
        <w:spacing w:before="40" w:after="40"/>
      </w:pPr>
      <w:r>
        <w:rPr>
          <w:rFonts w:ascii="Arial" w:cs="Arial" w:eastAsia="Arial" w:hAnsi="Arial"/>
          <w:b w:val="false"/>
          <w:bCs w:val="false"/>
          <w:sz w:val="22"/>
          <w:szCs w:val="22"/>
        </w:rPr>
        <w:t xml:space="preserve">Not have previously received a grant from this fund</w:t>
      </w:r>
    </w:p>
    <w:p>
      <w:pPr>
        <w:spacing w:before="120" w:after="60"/>
      </w:pPr>
      <w:r>
        <w:rPr>
          <w:rFonts w:ascii="Arial" w:cs="Arial" w:eastAsia="Arial" w:hAnsi="Arial"/>
          <w:b/>
          <w:bCs/>
          <w:i/>
          <w:iCs/>
          <w:sz w:val="22"/>
          <w:szCs w:val="22"/>
        </w:rPr>
        <w:t xml:space="preserve">Note: </w:t>
      </w:r>
      <w:r>
        <w:rPr>
          <w:rFonts w:ascii="Arial" w:cs="Arial" w:eastAsia="Arial" w:hAnsi="Arial"/>
          <w:i/>
          <w:iCs/>
          <w:sz w:val="22"/>
          <w:szCs w:val="22"/>
        </w:rPr>
        <w:t xml:space="preserve">Grants are one-time only. A student who has previously received a grant may apply for a zero-interest loan in subsequent years if they remain eligible.</w:t>
      </w:r>
    </w:p>
    <w:p>
      <w:pPr>
        <w:pStyle w:val="Heading1"/>
        <w:spacing w:before="300" w:after="60"/>
      </w:pPr>
      <w:r>
        <w:t xml:space="preserve">Zero-Interest Loan Criteria</w:t>
      </w:r>
    </w:p>
    <w:p>
      <w:pPr>
        <w:spacing w:before="60" w:after="60"/>
      </w:pPr>
      <w:r>
        <w:rPr>
          <w:rFonts w:ascii="Arial" w:cs="Arial" w:eastAsia="Arial" w:hAnsi="Arial"/>
          <w:b/>
          <w:bCs/>
          <w:i/>
          <w:iCs/>
          <w:sz w:val="22"/>
          <w:szCs w:val="22"/>
        </w:rPr>
        <w:t xml:space="preserve">Repayment Required After Graduation</w:t>
      </w:r>
    </w:p>
    <w:p>
      <w:pPr>
        <w:spacing w:before="60" w:after="60"/>
      </w:pPr>
      <w:r>
        <w:rPr>
          <w:rFonts w:ascii="Arial" w:cs="Arial" w:eastAsia="Arial" w:hAnsi="Arial"/>
          <w:sz w:val="22"/>
          <w:szCs w:val="22"/>
        </w:rPr>
        <w:t xml:space="preserve">A zero-interest loan provides financial support without the burden of interest, in accordance with Islamic principles. Repayment is expected after the student graduates or leaves school, based on a mutually agreed-upon schedule.</w:t>
      </w:r>
    </w:p>
    <w:p>
      <w:pPr>
        <w:pStyle w:val="Heading2"/>
        <w:spacing w:before="200" w:after="80"/>
      </w:pPr>
      <w:r>
        <w:t xml:space="preserve">To qualify for a Zero-Interest Loan, the applicant must:</w:t>
      </w:r>
    </w:p>
    <w:p>
      <w:pPr>
        <w:pStyle w:val="ListParagraph"/>
        <w:numPr>
          <w:ilvl w:val="0"/>
          <w:numId w:val="2"/>
        </w:numPr>
        <w:spacing w:before="40" w:after="40"/>
      </w:pPr>
      <w:r>
        <w:rPr>
          <w:rFonts w:ascii="Arial" w:cs="Arial" w:eastAsia="Arial" w:hAnsi="Arial"/>
          <w:b w:val="false"/>
          <w:bCs w:val="false"/>
          <w:sz w:val="22"/>
          <w:szCs w:val="22"/>
        </w:rPr>
        <w:t xml:space="preserve">Maintain a GPA between 2.5 and 2.9 (Satisfactory Standing)</w:t>
      </w:r>
    </w:p>
    <w:p>
      <w:pPr>
        <w:pStyle w:val="ListParagraph"/>
        <w:numPr>
          <w:ilvl w:val="0"/>
          <w:numId w:val="2"/>
        </w:numPr>
        <w:spacing w:before="40" w:after="40"/>
      </w:pPr>
      <w:r>
        <w:rPr>
          <w:rFonts w:ascii="Arial" w:cs="Arial" w:eastAsia="Arial" w:hAnsi="Arial"/>
          <w:b w:val="false"/>
          <w:bCs w:val="false"/>
          <w:sz w:val="22"/>
          <w:szCs w:val="22"/>
        </w:rPr>
        <w:t xml:space="preserve">Be enrolled full-time in an undergraduate program at an accredited institution (domestic or international)</w:t>
      </w:r>
    </w:p>
    <w:p>
      <w:pPr>
        <w:pStyle w:val="ListParagraph"/>
        <w:numPr>
          <w:ilvl w:val="0"/>
          <w:numId w:val="2"/>
        </w:numPr>
        <w:spacing w:before="40" w:after="40"/>
      </w:pPr>
      <w:r>
        <w:rPr>
          <w:rFonts w:ascii="Arial" w:cs="Arial" w:eastAsia="Arial" w:hAnsi="Arial"/>
          <w:b w:val="false"/>
          <w:bCs w:val="false"/>
          <w:sz w:val="22"/>
          <w:szCs w:val="22"/>
        </w:rPr>
        <w:t xml:space="preserve">Demonstrate financial need based on household income</w:t>
      </w:r>
    </w:p>
    <w:p>
      <w:pPr>
        <w:pStyle w:val="ListParagraph"/>
        <w:numPr>
          <w:ilvl w:val="0"/>
          <w:numId w:val="2"/>
        </w:numPr>
        <w:spacing w:before="40" w:after="40"/>
      </w:pPr>
      <w:r>
        <w:rPr>
          <w:rFonts w:ascii="Arial" w:cs="Arial" w:eastAsia="Arial" w:hAnsi="Arial"/>
          <w:b w:val="false"/>
          <w:bCs w:val="false"/>
          <w:sz w:val="22"/>
          <w:szCs w:val="22"/>
        </w:rPr>
        <w:t xml:space="preserve">Be in good academic standing with no unresolved academic violations</w:t>
      </w:r>
    </w:p>
    <w:p>
      <w:pPr>
        <w:pStyle w:val="ListParagraph"/>
        <w:numPr>
          <w:ilvl w:val="0"/>
          <w:numId w:val="2"/>
        </w:numPr>
        <w:spacing w:before="40" w:after="40"/>
      </w:pPr>
      <w:r>
        <w:rPr>
          <w:rFonts w:ascii="Arial" w:cs="Arial" w:eastAsia="Arial" w:hAnsi="Arial"/>
          <w:b w:val="false"/>
          <w:bCs w:val="false"/>
          <w:sz w:val="22"/>
          <w:szCs w:val="22"/>
        </w:rPr>
        <w:t xml:space="preserve">Agree in writing to a repayment plan upon graduation or leaving school</w:t>
      </w:r>
    </w:p>
    <w:p>
      <w:pPr>
        <w:pStyle w:val="Heading1"/>
        <w:spacing w:before="300" w:after="160"/>
      </w:pPr>
      <w:r>
        <w:t xml:space="preserve">Quick Reference: Grant vs. Zero-Interest Loan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rPr>
          <w:tblHeader/>
        </w:trPr>
        <w:tc>
          <w:tcPr>
            <w:tcW w:type="dxa" w:w="2340"/>
            <w:tcBorders>
              <w:top w:val="single" w:color="2E86AB" w:sz="1"/>
              <w:left w:val="single" w:color="2E86AB" w:sz="1"/>
              <w:bottom w:val="single" w:color="2E86AB" w:sz="1"/>
              <w:right w:val="single" w:color="2E86AB" w:sz="1"/>
            </w:tcBorders>
            <w:shd w:fill="1F4E79" w:val="clear"/>
            <w:tcMar>
              <w:top w:type="dxa" w:w="100"/>
              <w:left w:type="dxa" w:w="150"/>
              <w:bottom w:type="dxa" w:w="100"/>
              <w:right w:type="dxa" w:w="150"/>
            </w:tcMar>
          </w:tcPr>
          <w:p>
            <w:r>
              <w:rPr>
                <w:rFonts w:ascii="Arial" w:cs="Arial" w:eastAsia="Arial" w:hAnsi="Arial"/>
                <w:b/>
                <w:bCs/>
                <w:color w:val="FFFFFF"/>
                <w:sz w:val="20"/>
                <w:szCs w:val="20"/>
              </w:rPr>
              <w:t xml:space="preserve">Criteria</w:t>
            </w:r>
          </w:p>
        </w:tc>
        <w:tc>
          <w:tcPr>
            <w:tcW w:type="dxa" w:w="3510"/>
            <w:tcBorders>
              <w:top w:val="single" w:color="2E86AB" w:sz="1"/>
              <w:left w:val="single" w:color="2E86AB" w:sz="1"/>
              <w:bottom w:val="single" w:color="2E86AB" w:sz="1"/>
              <w:right w:val="single" w:color="2E86AB" w:sz="1"/>
            </w:tcBorders>
            <w:shd w:fill="1F4E79" w:val="clear"/>
            <w:tcMar>
              <w:top w:type="dxa" w:w="100"/>
              <w:left w:type="dxa" w:w="150"/>
              <w:bottom w:type="dxa" w:w="100"/>
              <w:right w:type="dxa" w:w="150"/>
            </w:tcMar>
          </w:tcPr>
          <w:p>
            <w:r>
              <w:rPr>
                <w:rFonts w:ascii="Arial" w:cs="Arial" w:eastAsia="Arial" w:hAnsi="Arial"/>
                <w:b/>
                <w:bCs/>
                <w:color w:val="FFFFFF"/>
                <w:sz w:val="20"/>
                <w:szCs w:val="20"/>
              </w:rPr>
              <w:t xml:space="preserve">Grant</w:t>
            </w:r>
          </w:p>
        </w:tc>
        <w:tc>
          <w:tcPr>
            <w:tcW w:type="dxa" w:w="3510"/>
            <w:tcBorders>
              <w:top w:val="single" w:color="2E86AB" w:sz="1"/>
              <w:left w:val="single" w:color="2E86AB" w:sz="1"/>
              <w:bottom w:val="single" w:color="2E86AB" w:sz="1"/>
              <w:right w:val="single" w:color="2E86AB" w:sz="1"/>
            </w:tcBorders>
            <w:shd w:fill="1F4E79" w:val="clear"/>
            <w:tcMar>
              <w:top w:type="dxa" w:w="100"/>
              <w:left w:type="dxa" w:w="150"/>
              <w:bottom w:type="dxa" w:w="100"/>
              <w:right w:type="dxa" w:w="150"/>
            </w:tcMar>
          </w:tcPr>
          <w:p>
            <w:r>
              <w:rPr>
                <w:rFonts w:ascii="Arial" w:cs="Arial" w:eastAsia="Arial" w:hAnsi="Arial"/>
                <w:b/>
                <w:bCs/>
                <w:color w:val="FFFFFF"/>
                <w:sz w:val="20"/>
                <w:szCs w:val="20"/>
              </w:rPr>
              <w:t xml:space="preserve">Zero-Interest Loan</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20"/>
                <w:szCs w:val="20"/>
              </w:rPr>
              <w:t xml:space="preserve">GPA Requirement</w:t>
            </w:r>
          </w:p>
        </w:tc>
        <w:tc>
          <w:tcPr>
            <w:tcW w:type="dxa" w:w="351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val="false"/>
                <w:bCs w:val="false"/>
                <w:sz w:val="20"/>
                <w:szCs w:val="20"/>
              </w:rPr>
              <w:t xml:space="preserve">3.0 or higher</w:t>
            </w:r>
          </w:p>
        </w:tc>
        <w:tc>
          <w:tcPr>
            <w:tcW w:type="dxa" w:w="351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val="false"/>
                <w:bCs w:val="false"/>
                <w:sz w:val="20"/>
                <w:szCs w:val="20"/>
              </w:rPr>
              <w:t xml:space="preserve">2.5 – 2.9</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sz w:val="20"/>
                <w:szCs w:val="20"/>
              </w:rPr>
              <w:t xml:space="preserve">Repayment Required</w:t>
            </w:r>
          </w:p>
        </w:tc>
        <w:tc>
          <w:tcPr>
            <w:tcW w:type="dxa" w:w="351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val="false"/>
                <w:bCs w:val="false"/>
                <w:sz w:val="20"/>
                <w:szCs w:val="20"/>
              </w:rPr>
              <w:t xml:space="preserve">No</w:t>
            </w:r>
          </w:p>
        </w:tc>
        <w:tc>
          <w:tcPr>
            <w:tcW w:type="dxa" w:w="351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val="false"/>
                <w:bCs w:val="false"/>
                <w:sz w:val="20"/>
                <w:szCs w:val="20"/>
              </w:rPr>
              <w:t xml:space="preserve">Yes — after graduation</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20"/>
                <w:szCs w:val="20"/>
              </w:rPr>
              <w:t xml:space="preserve">Financial Need</w:t>
            </w:r>
          </w:p>
        </w:tc>
        <w:tc>
          <w:tcPr>
            <w:tcW w:type="dxa" w:w="351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val="false"/>
                <w:bCs w:val="false"/>
                <w:sz w:val="20"/>
                <w:szCs w:val="20"/>
              </w:rPr>
              <w:t xml:space="preserve">Required</w:t>
            </w:r>
          </w:p>
        </w:tc>
        <w:tc>
          <w:tcPr>
            <w:tcW w:type="dxa" w:w="351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val="false"/>
                <w:bCs w:val="false"/>
                <w:sz w:val="20"/>
                <w:szCs w:val="20"/>
              </w:rPr>
              <w:t xml:space="preserve">Required</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sz w:val="20"/>
                <w:szCs w:val="20"/>
              </w:rPr>
              <w:t xml:space="preserve">Renewable</w:t>
            </w:r>
          </w:p>
        </w:tc>
        <w:tc>
          <w:tcPr>
            <w:tcW w:type="dxa" w:w="351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val="false"/>
                <w:bCs w:val="false"/>
                <w:sz w:val="20"/>
                <w:szCs w:val="20"/>
              </w:rPr>
              <w:t xml:space="preserve">One-time only</w:t>
            </w:r>
          </w:p>
        </w:tc>
        <w:tc>
          <w:tcPr>
            <w:tcW w:type="dxa" w:w="351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val="false"/>
                <w:bCs w:val="false"/>
                <w:sz w:val="20"/>
                <w:szCs w:val="20"/>
              </w:rPr>
              <w:t xml:space="preserve">Annual (while enrolled)</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20"/>
                <w:szCs w:val="20"/>
              </w:rPr>
              <w:t xml:space="preserve">Enrollment Status</w:t>
            </w:r>
          </w:p>
        </w:tc>
        <w:tc>
          <w:tcPr>
            <w:tcW w:type="dxa" w:w="351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val="false"/>
                <w:bCs w:val="false"/>
                <w:sz w:val="20"/>
                <w:szCs w:val="20"/>
              </w:rPr>
              <w:t xml:space="preserve">Full-time undergraduate</w:t>
            </w:r>
          </w:p>
        </w:tc>
        <w:tc>
          <w:tcPr>
            <w:tcW w:type="dxa" w:w="351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val="false"/>
                <w:bCs w:val="false"/>
                <w:sz w:val="20"/>
                <w:szCs w:val="20"/>
              </w:rPr>
              <w:t xml:space="preserve">Full-time undergraduate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sz w:val="20"/>
                <w:szCs w:val="20"/>
              </w:rPr>
              <w:t xml:space="preserve">Institution Type</w:t>
            </w:r>
          </w:p>
        </w:tc>
        <w:tc>
          <w:tcPr>
            <w:tcW w:type="dxa" w:w="351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val="false"/>
                <w:bCs w:val="false"/>
                <w:sz w:val="20"/>
                <w:szCs w:val="20"/>
              </w:rPr>
              <w:t xml:space="preserve">Accredited (domestic or international)</w:t>
            </w:r>
          </w:p>
        </w:tc>
        <w:tc>
          <w:tcPr>
            <w:tcW w:type="dxa" w:w="351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val="false"/>
                <w:bCs w:val="false"/>
                <w:sz w:val="20"/>
                <w:szCs w:val="20"/>
              </w:rPr>
              <w:t xml:space="preserve">Accredited (domestic or international)</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20"/>
                <w:szCs w:val="20"/>
              </w:rPr>
              <w:t xml:space="preserve">Family Side</w:t>
            </w:r>
          </w:p>
        </w:tc>
        <w:tc>
          <w:tcPr>
            <w:tcW w:type="dxa" w:w="351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val="false"/>
                <w:bCs w:val="false"/>
                <w:sz w:val="20"/>
                <w:szCs w:val="20"/>
              </w:rPr>
              <w:t xml:space="preserve">Maternal &amp; Paternal</w:t>
            </w:r>
          </w:p>
        </w:tc>
        <w:tc>
          <w:tcPr>
            <w:tcW w:type="dxa" w:w="351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val="false"/>
                <w:bCs w:val="false"/>
                <w:sz w:val="20"/>
                <w:szCs w:val="20"/>
              </w:rPr>
              <w:t xml:space="preserve">Maternal &amp; Paternal</w:t>
            </w:r>
          </w:p>
        </w:tc>
      </w:tr>
    </w:tbl>
    <w:p>
      <w:pPr>
        <w:pStyle w:val="Heading1"/>
        <w:spacing w:before="300" w:after="120"/>
      </w:pPr>
      <w:r>
        <w:t xml:space="preserve">Loan-to-Grant Conversion</w:t>
      </w:r>
    </w:p>
    <w:p>
      <w:pPr>
        <w:spacing w:before="60" w:after="60"/>
      </w:pPr>
      <w:r>
        <w:rPr>
          <w:rFonts w:ascii="Arial" w:cs="Arial" w:eastAsia="Arial" w:hAnsi="Arial"/>
          <w:sz w:val="22"/>
          <w:szCs w:val="22"/>
        </w:rPr>
        <w:t xml:space="preserve">As an incentive to encourage academic excellence, a student who initially received a zero-interest loan and subsequently achieves a GPA of 3.0 or higher may apply to have a portion of their outstanding loan converted to a grant. This conversion is subject to review and approval, and is intended to reward improvement and continued dedication to learning.</w:t>
      </w:r>
    </w:p>
    <w:p>
      <w:pPr>
        <w:pStyle w:val="Heading1"/>
        <w:spacing w:before="300" w:after="120"/>
      </w:pPr>
      <w:r>
        <w:t xml:space="preserve">The Deeper Intention — Sadaqah Jariyah</w:t>
      </w:r>
    </w:p>
    <w:p>
      <w:pPr>
        <w:spacing w:before="60" w:after="60"/>
      </w:pPr>
      <w:r>
        <w:rPr>
          <w:rFonts w:ascii="Arial" w:cs="Arial" w:eastAsia="Arial" w:hAnsi="Arial"/>
          <w:sz w:val="22"/>
          <w:szCs w:val="22"/>
        </w:rPr>
        <w:t xml:space="preserve">Every grant or loan extended through this fund is an act of continuous charity. When a student learns, grows, and contributes to their community, the reward flows back — in this life and the next, InshaAllah.</w:t>
      </w:r>
    </w:p>
    <w:p>
      <w:pPr>
        <w:spacing w:before="120" w:after="120"/>
      </w:pPr>
      <w:r>
        <w:rPr>
          <w:rFonts w:ascii="Arial" w:cs="Arial" w:eastAsia="Arial" w:hAnsi="Arial"/>
          <w:sz w:val="22"/>
          <w:szCs w:val="22"/>
        </w:rPr>
        <w:t xml:space="preserve">The Prophet Muhammad (peace be upon him) said:</w:t>
      </w:r>
    </w:p>
    <w:p>
      <w:pPr>
        <w:spacing w:before="120" w:after="120"/>
        <w:ind w:left="720" w:right="720"/>
        <w:jc w:val="center"/>
      </w:pPr>
      <w:r>
        <w:rPr>
          <w:rFonts w:ascii="Arial" w:cs="Arial" w:eastAsia="Arial" w:hAnsi="Arial"/>
          <w:b/>
          <w:bCs/>
          <w:i/>
          <w:iCs/>
          <w:sz w:val="22"/>
          <w:szCs w:val="22"/>
        </w:rPr>
        <w:t xml:space="preserve">“When a person dies, all their deeds end except three: a continuing charity, beneficial knowledge, or a righteous child who prays for them.”</w:t>
      </w:r>
    </w:p>
    <w:p>
      <w:pPr>
        <w:spacing w:before="60" w:after="60"/>
      </w:pPr>
      <w:r>
        <w:rPr>
          <w:rFonts w:ascii="Arial" w:cs="Arial" w:eastAsia="Arial" w:hAnsi="Arial"/>
          <w:sz w:val="22"/>
          <w:szCs w:val="22"/>
        </w:rPr>
        <w:t xml:space="preserve">Supporting a student in their education is an investment in all three of these — may Allah accept it from us all, Ameen.</w:t>
      </w:r>
    </w:p>
    <w:p>
      <w:pPr>
        <w:spacing w:before="300" w:after="0"/>
      </w:pPr>
      <w:r>
        <w:rPr>
          <w:rFonts w:ascii="Arial" w:cs="Arial" w:eastAsia="Arial" w:hAnsi="Arial"/>
          <w:i/>
          <w:iCs/>
          <w:color w:val="777777"/>
          <w:sz w:val="20"/>
          <w:szCs w:val="20"/>
        </w:rPr>
        <w:t xml:space="preserve">This document is subject to review and may be updated periodically. InshaAllah.</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20"/>
      <w:outlineLvl w:val="0"/>
    </w:pPr>
    <w:rPr>
      <w:rFonts w:ascii="Arial" w:cs="Arial" w:eastAsia="Arial" w:hAnsi="Arial"/>
      <w:b/>
      <w:bCs/>
      <w:color w:val="1F4E79"/>
      <w:sz w:val="28"/>
      <w:szCs w:val="28"/>
    </w:rPr>
  </w:style>
  <w:style w:type="paragraph" w:styleId="Heading2">
    <w:name w:val="Heading 2"/>
    <w:basedOn w:val="Normal"/>
    <w:next w:val="Normal"/>
    <w:qFormat/>
    <w:pPr>
      <w:spacing w:before="200" w:after="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2026-03-19T15:49:25.657Z</dcterms:created>
  <dcterms:modified xsi:type="dcterms:W3CDTF">2026-03-19T15:49:25.658Z</dcterms:modified>
</cp:coreProperties>
</file>

<file path=docProps/custom.xml><?xml version="1.0" encoding="utf-8"?>
<Properties xmlns="http://schemas.openxmlformats.org/officeDocument/2006/custom-properties" xmlns:vt="http://schemas.openxmlformats.org/officeDocument/2006/docPropsVTypes"/>
</file>